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2023/171 vom 15. Juli 2024</w:t>
      </w:r>
    </w:p>
    <w:p>
      <w:r>
        <w:t>Sg Versicherungsgericht, 2024-07-15, DE</w:t>
      </w:r>
    </w:p>
    <w:p>
      <w:r>
        <w:rPr>
          <w:b/>
        </w:rPr>
        <w:t xml:space="preserve">Quelle: </w:t>
      </w:r>
      <w:r>
        <w:t>https://mcp.opencaselaw.ch/entscheid/sg_publikationen_IV 2023_171</w:t>
      </w:r>
    </w:p>
    <w:p>
      <w:r>
        <w:t>FR: SG_VERSICHERUNGSGERICHT IV 2023/171 du 15 juillet 2024</w:t>
      </w:r>
    </w:p>
    <w:p>
      <w:r>
        <w:t>IT: SG_VERSICHERUNGSGERICHT IV 2023/171 del 15 luglio 2024</w:t>
      </w:r>
    </w:p>
    <w:p>
      <w:pPr>
        <w:pStyle w:val="Heading2"/>
      </w:pPr>
      <w:r>
        <w:t>Regeste</w:t>
      </w:r>
    </w:p>
    <w:p>
      <w:r>
        <w:t>Abstellen auf als beweiskräftig beurteiltes orthopädisch-psychiatrisches Gutachten. Demnach ist der Beschwerdeführer in einer angepassten Tätigkeit zu 100 % arbeitsfähig. Der Beschwerdeführer leidet an einer nahezu vollständigen Funktionseinbusse des dominanten Handgelenks. Die Arbeitsfähigkeit ist verwertbar und es rechtfertigt sich ein Tabellenlohnabzug bis zu 25 %, wobei selbst bei dessen Annahme kein rentenbegründender Invaliditätsgrad resultiert (Entscheid des Versicherungsgerichts des Kantons St. Gallen vom 15. Juli 2024, IV 2023/171).</w:t>
      </w:r>
    </w:p>
    <w:p>
      <w:pPr>
        <w:pStyle w:val="Heading2"/>
      </w:pPr>
      <w:r>
        <w:t>Erwägungen</w:t>
      </w:r>
    </w:p>
    <w:p>
      <w:r>
        <w:rPr>
          <w:b/>
        </w:rPr>
        <w:t>E. 7.1</w:t>
      </w:r>
    </w:p>
    <w:p>
      <w:r>
        <w:t>Nach dem Gesagten ist die Beschwerde sowohl im Haupt- als auch im Eventualantrag abzuweisen.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deren Bezahlung zu befreien.</w:t>
      </w:r>
    </w:p>
    <w:p>
      <w:r>
        <w:rPr>
          <w:b/>
        </w:rPr>
        <w:t>E. 7.3</w:t>
      </w:r>
    </w:p>
    <w:p>
      <w:r>
        <w:t>Bei diesem Verfahrensausgang hat der Beschwerdeführer keinen Anspruch auf eine Parteientschädigung (vgl. Art. 61 lit. g ATSG).</w:t>
      </w:r>
    </w:p>
    <w:p>
      <w:r>
        <w:rPr>
          <w:b/>
        </w:rPr>
        <w:t>E. 7.4</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w:t>
      </w:r>
    </w:p>
    <w:p>
      <w:r>
        <w:rPr>
          <w:b/>
        </w:rPr>
        <w:t>E. 7.5</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